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AF7" w:rsidRDefault="00C6598D" w:rsidP="00BC7D90">
      <w:pPr>
        <w:ind w:left="7080"/>
        <w:rPr>
          <w:rFonts w:ascii="Arial" w:hAnsi="Arial" w:cs="Arial"/>
          <w:color w:val="4472C4" w:themeColor="accent1"/>
          <w:sz w:val="28"/>
          <w:szCs w:val="28"/>
        </w:rPr>
      </w:pPr>
      <w:r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3702685</wp:posOffset>
                </wp:positionH>
                <wp:positionV relativeFrom="paragraph">
                  <wp:posOffset>1905</wp:posOffset>
                </wp:positionV>
                <wp:extent cx="2800350" cy="9525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Pr="00BC7D90" w:rsidRDefault="00BC7D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C7D90">
                              <w:rPr>
                                <w:noProof/>
                                <w:color w:val="FFFFFF" w:themeColor="background1"/>
                                <w:lang w:eastAsia="fr-C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6D44B00" wp14:editId="694E007C">
                                  <wp:extent cx="2592705" cy="8858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0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1.55pt;margin-top:.15pt;width:220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FZaIQIAACAEAAAOAAAAZHJzL2Uyb0RvYy54bWysU02P2yAQvVfqf0DcGztu0t214qy22aaq&#13;&#10;tP2Qtr30hgHHqMBQILF3f30HnM1G21tVHxDjGR5v3jxW16PR5CB9UGAbOp+VlEjLQSi7a+iP79s3&#13;&#10;l5SEyKxgGqxs6IMM9Hr9+tVqcLWsoActpCcIYkM9uIb2Mbq6KALvpWFhBk5aTHbgDYsY+l0hPBsQ&#13;&#10;3eiiKst3xQBeOA9choB/b6ckXWf8rpM8fu26ICPRDUVuMa8+r21ai/WK1TvPXK/4kQb7BxaGKYuX&#13;&#10;nqBuWWRk79VfUEZxDwG6OONgCug6xWXuAbuZly+6ue+Zk7kXFCe4k0zh/8HyL4dvnijR0AtKLDM4&#13;&#10;op84KCIkiXKMklRJosGFGivvHdbG8T2MOOrcbnB3wH8FYmHTM7uTN97D0EsmkOI8nSzOjk44IYG0&#13;&#10;w2cQeBfbR8hAY+dN0g8VIYiOo3o4jQd5EI4/q8uyfLvEFMfc1bJalnl+BaufTjsf4kcJhqRNQz2O&#13;&#10;P6Ozw12IiQ2rn0rSZQG0EluldQ78rt1oTw4MrbLNX27gRZm2ZJhuz8gW0vnsIqMiWlkr01Akit9k&#13;&#10;rqTGBytySWRKT3tkou1RnqTIpE0c2xELk2YtiAcUysNkWXxiuOnBP1IyoF0bGn7vmZeU6E8Wxb6a&#13;&#10;LxbJ3zlYLC8qDPx5pj3PMMsRqqGRkmm7iflNJB0s3OBQOpX1emZy5Io2zDIen0zy+Xmcq54f9voP&#13;&#10;AAAA//8DAFBLAwQUAAYACAAAACEAZRJ5b+AAAAAOAQAADwAAAGRycy9kb3ducmV2LnhtbExPy27C&#13;&#10;MBC8V+o/WIvUS1UcCAEa4qA+VNQrlA/YxEsSEdtRbEj4+y6n9rLa0ezOI9uOphVX6n3jrILZNAJB&#13;&#10;tnS6sZWC48/XyxqED2g1ts6Sght52OaPDxmm2g12T9dDqASLWJ+igjqELpXSlzUZ9FPXkWXu5HqD&#13;&#10;gWFfSd3jwOKmlfMoWkqDjWWHGjv6qKk8Hy5Gwel7eE5eh2IXjqv9YvmOzapwN6WeJuPnhsfbBkSg&#13;&#10;Mfx9wL0D54ecgxXuYrUXrYJkHc/4VEEM4k5H8wXjgrckikHmmfxfI/8FAAD//wMAUEsBAi0AFAAG&#13;&#10;AAgAAAAhALaDOJL+AAAA4QEAABMAAAAAAAAAAAAAAAAAAAAAAFtDb250ZW50X1R5cGVzXS54bWxQ&#13;&#10;SwECLQAUAAYACAAAACEAOP0h/9YAAACUAQAACwAAAAAAAAAAAAAAAAAvAQAAX3JlbHMvLnJlbHNQ&#13;&#10;SwECLQAUAAYACAAAACEA4RxWWiECAAAgBAAADgAAAAAAAAAAAAAAAAAuAgAAZHJzL2Uyb0RvYy54&#13;&#10;bWxQSwECLQAUAAYACAAAACEAZRJ5b+AAAAAOAQAADwAAAAAAAAAAAAAAAAB7BAAAZHJzL2Rvd25y&#13;&#10;ZXYueG1sUEsFBgAAAAAEAAQA8wAAAIgFAAAAAA==&#13;&#10;" stroked="f">
                <v:textbox>
                  <w:txbxContent>
                    <w:p w:rsidR="00BC7D90" w:rsidRPr="00BC7D90" w:rsidRDefault="00BC7D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C7D90">
                        <w:rPr>
                          <w:noProof/>
                          <w:color w:val="FFFFFF" w:themeColor="background1"/>
                          <w:lang w:eastAsia="fr-C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6D44B00" wp14:editId="694E007C">
                            <wp:extent cx="2592705" cy="8858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0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D90"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43150" cy="7524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Default="00BC7D90">
                            <w:r w:rsidRPr="008C1F91"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5228396" wp14:editId="381EE8A2">
                                  <wp:extent cx="2052711" cy="685800"/>
                                  <wp:effectExtent l="0" t="0" r="5080" b="0"/>
                                  <wp:docPr id="4" name="Image 4" descr="C:\Users\PC150\Desktop\Marketing MGD\Logo MG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150\Desktop\Marketing MGD\Logo MG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408" cy="69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4.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3fJwIAACcEAAAOAAAAZHJzL2Uyb0RvYy54bWysU01v2zAMvQ/YfxB0X5y4SdMacYouXYYB&#13;&#10;3QfQ7bKbLMmxMEnUJCV2++tHyWmabbdhPgikST49PlKrm8FocpA+KLA1nU2mlEjLQSi7q+m3r9s3&#13;&#10;V5SEyKxgGqys6aMM9Gb9+tWqd5UsoQMtpCcIYkPVu5p2MbqqKALvpGFhAk5aDLbgDYvo+l0hPOsR&#13;&#10;3eiinE4vix68cB64DAH/3o1Bus74bSt5/Ny2QUaia4rcYj59Ppt0FusVq3aeuU7xIw32DywMUxYv&#13;&#10;PUHdscjI3qu/oIziHgK0ccLBFNC2isvcA3Yzm/7RzUPHnMy9oDjBnWQK/w+Wfzp88USJml5SYpnB&#13;&#10;EX3HQREhSZRDlKRMEvUuVJj54DA3Dm9hwFHndoO7B/4jEAubjtmdvPUe+k4ygRRnqbI4Kx1xQgJp&#13;&#10;+o8g8C62j5CBhtabpB8qQhAdR/V4Gg/yIBx/lhfzi9kCQxxjy0U5Xy7yFax6rnY+xPcSDElGTT2O&#13;&#10;P6Ozw32IiQ2rnlPSZQG0EluldXb8rtloTw4MV2WbvyP6b2nakr6m14tykZEtpPq8RUZFXGWtTE2v&#13;&#10;pulL5axKaryzItuRKT3ayETbozxJkVGbODRDHkbWLknXgHhEvTyMm4svDY0O/BMlPW5tTcPPPfOS&#13;&#10;Ev3BoubXs/k8rXl25otliY4/jzTnEWY5QtU0UjKam5ifRqJt4RZn06os2wuTI2Xcxqzm8eWkdT/3&#13;&#10;c9bL+17/AgAA//8DAFBLAwQUAAYACAAAACEAcJDCNN0AAAAKAQAADwAAAGRycy9kb3ducmV2Lnht&#13;&#10;bExPXU/CQBB8N/E/XJbEFyNXVAqUXokfkfgK8gO27dI29Paa3kHLv3f1RV8mmczs7Ey6GW2rLtT7&#13;&#10;xrGB2TQCRVy4suHKwOHr42EJygfkElvHZOBKHjbZ7U2KSekG3tFlHyolIewTNFCH0CVa+6Imi37q&#13;&#10;OmLRjq63GIT2lS57HCTctvoximJtsWH5UGNHbzUVp/3ZGjh+Dvfz1ZBvw2Gxe45fsVnk7mrM3WR8&#13;&#10;Xwu8rEEFGsPfBfxskP6QSbHcnbn0qjUga8IvivYUr4TmYpot56CzVP+fkH0DAAD//wMAUEsBAi0A&#13;&#10;FAAGAAgAAAAhALaDOJL+AAAA4QEAABMAAAAAAAAAAAAAAAAAAAAAAFtDb250ZW50X1R5cGVzXS54&#13;&#10;bWxQSwECLQAUAAYACAAAACEAOP0h/9YAAACUAQAACwAAAAAAAAAAAAAAAAAvAQAAX3JlbHMvLnJl&#13;&#10;bHNQSwECLQAUAAYACAAAACEAhqQN3ycCAAAnBAAADgAAAAAAAAAAAAAAAAAuAgAAZHJzL2Uyb0Rv&#13;&#10;Yy54bWxQSwECLQAUAAYACAAAACEAcJDCNN0AAAAKAQAADwAAAAAAAAAAAAAAAACBBAAAZHJzL2Rv&#13;&#10;d25yZXYueG1sUEsFBgAAAAAEAAQA8wAAAIsFAAAAAA==&#13;&#10;" stroked="f">
                <v:textbox>
                  <w:txbxContent>
                    <w:p w:rsidR="00BC7D90" w:rsidRDefault="00BC7D90">
                      <w:r w:rsidRPr="008C1F91"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5228396" wp14:editId="381EE8A2">
                            <wp:extent cx="2052711" cy="685800"/>
                            <wp:effectExtent l="0" t="0" r="5080" b="0"/>
                            <wp:docPr id="4" name="Image 4" descr="C:\Users\PC150\Desktop\Marketing MGD\Logo MG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150\Desktop\Marketing MGD\Logo MG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408" cy="69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F91">
        <w:rPr>
          <w:rFonts w:ascii="Arial" w:hAnsi="Arial" w:cs="Arial"/>
          <w:color w:val="000000" w:themeColor="text1"/>
        </w:rPr>
        <w:t xml:space="preserve">    </w:t>
      </w:r>
    </w:p>
    <w:p w:rsidR="00BC7D90" w:rsidRPr="00D52F60" w:rsidRDefault="00BC7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A921FC">
        <w:rPr>
          <w:rFonts w:ascii="Arial" w:hAnsi="Arial" w:cs="Arial"/>
          <w:sz w:val="28"/>
          <w:szCs w:val="28"/>
        </w:rPr>
        <w:t>24</w:t>
      </w:r>
      <w:r w:rsidR="00D52F60" w:rsidRPr="00D52F60">
        <w:rPr>
          <w:rFonts w:ascii="Arial" w:hAnsi="Arial" w:cs="Arial"/>
          <w:sz w:val="28"/>
          <w:szCs w:val="28"/>
        </w:rPr>
        <w:t xml:space="preserve"> </w:t>
      </w:r>
      <w:r w:rsidR="00A921FC">
        <w:rPr>
          <w:rFonts w:ascii="Arial" w:hAnsi="Arial" w:cs="Arial"/>
          <w:sz w:val="28"/>
          <w:szCs w:val="28"/>
        </w:rPr>
        <w:t>mars</w:t>
      </w:r>
      <w:r w:rsidR="00D52F60" w:rsidRPr="00D52F60">
        <w:rPr>
          <w:rFonts w:ascii="Arial" w:hAnsi="Arial" w:cs="Arial"/>
          <w:sz w:val="28"/>
          <w:szCs w:val="28"/>
        </w:rPr>
        <w:t xml:space="preserve"> 2020</w:t>
      </w:r>
    </w:p>
    <w:p w:rsidR="00D52F60" w:rsidRDefault="00D52F60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8628FC" w:rsidRDefault="003716D8" w:rsidP="008628FC">
      <w:pPr>
        <w:spacing w:line="336" w:lineRule="atLeast"/>
        <w:rPr>
          <w:rFonts w:ascii="Arial" w:hAnsi="Arial" w:cs="Arial"/>
          <w:b/>
          <w:color w:val="4472C4" w:themeColor="accent1"/>
          <w:sz w:val="28"/>
          <w:szCs w:val="28"/>
        </w:rPr>
      </w:pPr>
      <w:r w:rsidRPr="003716D8">
        <w:rPr>
          <w:rFonts w:ascii="Arial" w:hAnsi="Arial" w:cs="Arial"/>
          <w:b/>
          <w:color w:val="4472C4" w:themeColor="accent1"/>
          <w:sz w:val="32"/>
          <w:szCs w:val="28"/>
        </w:rPr>
        <w:t xml:space="preserve">Les bénéfices du </w:t>
      </w:r>
      <w:proofErr w:type="spellStart"/>
      <w:r w:rsidRPr="003716D8">
        <w:rPr>
          <w:rFonts w:ascii="Arial" w:hAnsi="Arial" w:cs="Arial"/>
          <w:b/>
          <w:color w:val="4472C4" w:themeColor="accent1"/>
          <w:sz w:val="32"/>
          <w:szCs w:val="28"/>
        </w:rPr>
        <w:t>Tocilizumab</w:t>
      </w:r>
      <w:proofErr w:type="spellEnd"/>
      <w:r w:rsidRPr="003716D8">
        <w:rPr>
          <w:rFonts w:ascii="Arial" w:hAnsi="Arial" w:cs="Arial"/>
          <w:b/>
          <w:color w:val="4472C4" w:themeColor="accent1"/>
          <w:sz w:val="32"/>
          <w:szCs w:val="28"/>
        </w:rPr>
        <w:t xml:space="preserve"> dans le traitement du SARS-CoV-2</w:t>
      </w:r>
      <w:r w:rsidR="004B3AF7" w:rsidRPr="00D52F60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</w:p>
    <w:p w:rsidR="008628FC" w:rsidRDefault="008628FC" w:rsidP="008628FC">
      <w:pPr>
        <w:spacing w:line="336" w:lineRule="atLeast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3716D8" w:rsidRPr="008628FC" w:rsidRDefault="003716D8" w:rsidP="008628FC">
      <w:pPr>
        <w:spacing w:line="336" w:lineRule="atLeast"/>
        <w:rPr>
          <w:rFonts w:ascii="Arial" w:hAnsi="Arial" w:cs="Arial"/>
          <w:b/>
          <w:color w:val="4472C4" w:themeColor="accent1"/>
          <w:sz w:val="32"/>
          <w:szCs w:val="28"/>
        </w:rPr>
      </w:pPr>
      <w:r>
        <w:t>Des résultats prometteurs observés en Chine ont été obtenus sur un petit nombre de patients en Italie (</w:t>
      </w:r>
      <w:hyperlink r:id="rId10" w:tgtFrame="_blank" w:history="1">
        <w:r>
          <w:rPr>
            <w:rStyle w:val="Lienhypertexte"/>
          </w:rPr>
          <w:t>https://112.international/society/italy-claims-to-find-drugs-against-coronavirus-49605.html</w:t>
        </w:r>
      </w:hyperlink>
      <w:r>
        <w:t>)</w:t>
      </w:r>
    </w:p>
    <w:p w:rsidR="003716D8" w:rsidRDefault="003716D8" w:rsidP="003716D8">
      <w:pPr>
        <w:pStyle w:val="NormalWeb"/>
      </w:pPr>
      <w:r>
        <w:t>Des études randomisées sont actuellement en cours pour confirmer l’efficacité du traitement (</w:t>
      </w:r>
      <w:hyperlink r:id="rId11" w:tgtFrame="_blank" w:history="1">
        <w:r>
          <w:rPr>
            <w:rStyle w:val="Lienhypertexte"/>
          </w:rPr>
          <w:t>https://www.roche.com/media/releases/med-cor-2020-03-19.htm</w:t>
        </w:r>
      </w:hyperlink>
      <w:r>
        <w:t>)</w:t>
      </w:r>
    </w:p>
    <w:p w:rsidR="003716D8" w:rsidRDefault="003716D8" w:rsidP="003716D8">
      <w:pPr>
        <w:pStyle w:val="NormalWeb"/>
      </w:pPr>
      <w:r>
        <w:t xml:space="preserve">Le </w:t>
      </w:r>
      <w:proofErr w:type="spellStart"/>
      <w:r>
        <w:t>Tocilizumab</w:t>
      </w:r>
      <w:proofErr w:type="spellEnd"/>
      <w:r>
        <w:t xml:space="preserve"> est un anticorps monoclonal immunosuppresseur qui se lie au récepteur à l’interleukine 6 et supprime la réponse IL6. Actuellement cet anticorps est utilisé pour le traitement de l’arthrite rhumatoïde ainsi que pour d’autres maladies inflammatoires</w:t>
      </w:r>
      <w:r w:rsidR="00A921FC">
        <w:t xml:space="preserve"> </w:t>
      </w:r>
      <w:r>
        <w:t>chroniques. Cette approche originale dans le sens où la cible n’est pas le virus lui-même mais le système immunitaire de l’hôte qui est suspecté être responsable des symptômes</w:t>
      </w:r>
      <w:r w:rsidR="00A921FC">
        <w:t xml:space="preserve"> </w:t>
      </w:r>
      <w:r>
        <w:t>pulmonaires sévères. La réponse pulmonaire inflammatoire à de nombreux virus</w:t>
      </w:r>
      <w:r w:rsidR="00A921FC">
        <w:t xml:space="preserve"> </w:t>
      </w:r>
      <w:r>
        <w:t>respiratoires incluant le coronavirus et le virus influenza est suspectée être due à une</w:t>
      </w:r>
      <w:r>
        <w:br/>
        <w:t>infiltration accrue de neutrophiles dans les poumons, médiée par l’interleukine 6 (IL6).</w:t>
      </w:r>
    </w:p>
    <w:p w:rsidR="003716D8" w:rsidRDefault="003716D8" w:rsidP="003716D8">
      <w:pPr>
        <w:pStyle w:val="NormalWeb"/>
      </w:pPr>
      <w:r>
        <w:t>Des niveaux élevés d’IL6 pulmonaire sont plus souvent observés chez des patients plus âgés comparé à des patients jeunes, ce qui peut expliquer partiellement pourquoi les symptômes du SARS-CoV-2 sont moins sévères chez les plus jeunes.</w:t>
      </w:r>
    </w:p>
    <w:p w:rsidR="003716D8" w:rsidRDefault="003716D8" w:rsidP="003716D8">
      <w:pPr>
        <w:pStyle w:val="NormalWeb"/>
      </w:pPr>
      <w:r>
        <w:t xml:space="preserve">L’utilisation du </w:t>
      </w:r>
      <w:proofErr w:type="spellStart"/>
      <w:r>
        <w:t>tocilizumab</w:t>
      </w:r>
      <w:proofErr w:type="spellEnd"/>
      <w:r>
        <w:t xml:space="preserve"> nécessite le monitoring des marqueurs inflammatoires tels que l’IL6, la ferritine, la CRP ainsi que la numération plaquettaire, l’AST/ALT et le fibrinogène. Les détails de la prise en charge peuvent être consultés sur le site suivant : </w:t>
      </w:r>
      <w:hyperlink r:id="rId12" w:tgtFrame="_blank" w:history="1">
        <w:r>
          <w:rPr>
            <w:rStyle w:val="Lienhypertexte"/>
          </w:rPr>
          <w:t>https://www.hse.ie/eng/about/who/acute-hospitals-division/drugs-management-programme/interim-recommendations-for-the-use-of-tocilizumab-in-the-management-of-patients-with-severe-covid-19.pdf</w:t>
        </w:r>
      </w:hyperlink>
      <w:r>
        <w:t xml:space="preserve"> (Irish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Autority</w:t>
      </w:r>
      <w:proofErr w:type="spellEnd"/>
      <w:r>
        <w:t>)</w:t>
      </w:r>
    </w:p>
    <w:p w:rsidR="0023496F" w:rsidRDefault="0023496F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Default="003716D8">
      <w:pPr>
        <w:rPr>
          <w:rFonts w:ascii="Arial" w:hAnsi="Arial" w:cs="Arial"/>
          <w:color w:val="000000" w:themeColor="text1"/>
        </w:rPr>
      </w:pPr>
    </w:p>
    <w:p w:rsidR="003716D8" w:rsidRPr="003716D8" w:rsidRDefault="003716D8">
      <w:pPr>
        <w:rPr>
          <w:rFonts w:ascii="Arial" w:hAnsi="Arial" w:cs="Arial"/>
          <w:color w:val="000000" w:themeColor="text1"/>
        </w:rPr>
      </w:pPr>
    </w:p>
    <w:p w:rsidR="0023496F" w:rsidRPr="003716D8" w:rsidRDefault="0023496F">
      <w:pPr>
        <w:rPr>
          <w:rFonts w:ascii="Arial" w:hAnsi="Arial" w:cs="Arial"/>
          <w:color w:val="000000" w:themeColor="text1"/>
          <w:lang w:val="fr-FR"/>
        </w:rPr>
      </w:pPr>
    </w:p>
    <w:p w:rsidR="008C1F91" w:rsidRPr="003716D8" w:rsidRDefault="008C1F91" w:rsidP="008C1F91">
      <w:pPr>
        <w:ind w:left="7080"/>
        <w:rPr>
          <w:rFonts w:ascii="Arial" w:hAnsi="Arial" w:cs="Arial"/>
          <w:color w:val="4472C4" w:themeColor="accent1"/>
          <w:sz w:val="28"/>
          <w:szCs w:val="28"/>
          <w:lang w:val="fr-FR"/>
        </w:rPr>
      </w:pPr>
    </w:p>
    <w:p w:rsidR="008C1F91" w:rsidRPr="0023496F" w:rsidRDefault="008C1F91" w:rsidP="008C1F91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Texte proposé par Dr Mireille Baptist</w:t>
      </w:r>
      <w:r w:rsidR="00C47E47"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 xml:space="preserve"> PhD</w:t>
      </w:r>
    </w:p>
    <w:p w:rsidR="0023496F" w:rsidRPr="0023496F" w:rsidRDefault="0023496F" w:rsidP="008C1F91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Consultante scientifique Laboratoire MGD</w:t>
      </w:r>
    </w:p>
    <w:p w:rsidR="001C33DF" w:rsidRPr="005F1D2E" w:rsidRDefault="001C33DF">
      <w:pPr>
        <w:rPr>
          <w:color w:val="000000" w:themeColor="text1"/>
          <w:lang w:val="en-US"/>
        </w:rPr>
      </w:pPr>
    </w:p>
    <w:sectPr w:rsidR="001C33DF" w:rsidRPr="005F1D2E" w:rsidSect="00BC7D90">
      <w:headerReference w:type="default" r:id="rId13"/>
      <w:pgSz w:w="11900" w:h="16840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2ED3" w:rsidRDefault="00F52ED3" w:rsidP="00AD5E45">
      <w:r>
        <w:separator/>
      </w:r>
    </w:p>
  </w:endnote>
  <w:endnote w:type="continuationSeparator" w:id="0">
    <w:p w:rsidR="00F52ED3" w:rsidRDefault="00F52ED3" w:rsidP="00A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2ED3" w:rsidRDefault="00F52ED3" w:rsidP="00AD5E45">
      <w:r>
        <w:separator/>
      </w:r>
    </w:p>
  </w:footnote>
  <w:footnote w:type="continuationSeparator" w:id="0">
    <w:p w:rsidR="00F52ED3" w:rsidRDefault="00F52ED3" w:rsidP="00A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E45" w:rsidRDefault="00AD5E45">
    <w:pPr>
      <w:pStyle w:val="En-tte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F9B8F9" wp14:editId="2F39F6AF">
              <wp:simplePos x="0" y="0"/>
              <wp:positionH relativeFrom="margin">
                <wp:posOffset>3862705</wp:posOffset>
              </wp:positionH>
              <wp:positionV relativeFrom="paragraph">
                <wp:posOffset>-335280</wp:posOffset>
              </wp:positionV>
              <wp:extent cx="2307590" cy="7048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E45" w:rsidRDefault="00AD5E45" w:rsidP="00AD5E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9B8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15pt;margin-top:-26.4pt;width:181.7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dAbJQIAACIEAAAOAAAAZHJzL2Uyb0RvYy54bWysU02P2yAQvVfqf0DcGztu0iRWnNU221SV&#13;&#10;th/StpfeMOAYFTMUSOzsr++As9loe6vqA2I8w+PNm8f6Zug0OUrnFZiKTic5JdJwEMrsK/rj++7N&#13;&#10;khIfmBFMg5EVPUlPbzavX617W8oCWtBCOoIgxpe9rWgbgi2zzPNWdsxPwEqDyQZcxwKGbp8Jx3pE&#13;&#10;73RW5Pm7rAcnrAMuvce/d2OSbhJ+00gevjaNl4HoiiK3kFaX1jqu2WbNyr1jtlX8TIP9A4uOKYOX&#13;&#10;XqDuWGDk4NRfUJ3iDjw0YcKhy6BpFJepB+xmmr/o5qFlVqZeUBxvLzL5/wfLvxy/OaJERYvpghLD&#13;&#10;OhzSTxwVEZIEOQRJiihSb32JtQ8Wq8PwHgYcdmrY23vgvzwxsG2Z2ctb56BvJRNIchpPZldHRxwf&#13;&#10;Qer+Mwi8ix0CJKChcV1UEDUhiI7DOl0GhDwIx5/F23wxX2GKY26Rz5bzNMGMlU+nrfPho4SOxE1F&#13;&#10;HRogobPjvQ+RDSufSuJlHrQSO6V1Cty+3mpHjgzNsktfauBFmTakr+hqXswTsoF4PvmoUwHNrFVX&#13;&#10;0WUev9FeUY0PRqSSwJQe98hEm7M8UZFRmzDUAxZGzWoQJxTKwWhafGS4acE9UtKjYSvqfx+Yk5To&#13;&#10;TwbFXk1ns+jwFMzmiwIDd52przPMcISqaKBk3G5DehVRBwO3OJRGJb2emZy5ohGTjOdHE51+Haeq&#13;&#10;56e9+QMAAP//AwBQSwMEFAAGAAgAAAAhANWqxMPkAAAADwEAAA8AAABkcnMvZG93bnJldi54bWxM&#13;&#10;j81ug0AMhO+V+g4rR+qlSpbQ8hPCEvVHrXpNmgcwsAEU1ovYTSBvX/fUXixZnhnPl+9m04urHl1n&#13;&#10;ScF6FYDQVNm6o0bB8ftjmYJwHqnG3pJWcNMOdsX9XY5ZbSfa6+vBN4JDyGWooPV+yKR0VasNupUd&#13;&#10;NPHtZEeDntexkfWIE4ebXoZBEEuDHfGHFgf91urqfLgYBaev6THaTOWnPyb75/gVu6S0N6UeFvP7&#13;&#10;lsfLFoTXs/9zwC8D94eCi5X2QrUTvYI4SJ9YqmAZhQzCik2yTkCUCqI0BFnk8j9H8QMAAP//AwBQ&#13;&#10;SwECLQAUAAYACAAAACEAtoM4kv4AAADhAQAAEwAAAAAAAAAAAAAAAAAAAAAAW0NvbnRlbnRfVHlw&#13;&#10;ZXNdLnhtbFBLAQItABQABgAIAAAAIQA4/SH/1gAAAJQBAAALAAAAAAAAAAAAAAAAAC8BAABfcmVs&#13;&#10;cy8ucmVsc1BLAQItABQABgAIAAAAIQBa6dAbJQIAACIEAAAOAAAAAAAAAAAAAAAAAC4CAABkcnMv&#13;&#10;ZTJvRG9jLnhtbFBLAQItABQABgAIAAAAIQDVqsTD5AAAAA8BAAAPAAAAAAAAAAAAAAAAAH8EAABk&#13;&#10;cnMvZG93bnJldi54bWxQSwUGAAAAAAQABADzAAAAkAUAAAAA&#13;&#10;" stroked="f">
              <v:textbox>
                <w:txbxContent>
                  <w:p w:rsidR="00AD5E45" w:rsidRDefault="00AD5E45" w:rsidP="00AD5E45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8"/>
    <w:rsid w:val="00002C5A"/>
    <w:rsid w:val="00082FC4"/>
    <w:rsid w:val="001079BB"/>
    <w:rsid w:val="00116AEF"/>
    <w:rsid w:val="0018484B"/>
    <w:rsid w:val="001B22FA"/>
    <w:rsid w:val="001B60AD"/>
    <w:rsid w:val="001C33DF"/>
    <w:rsid w:val="0023496F"/>
    <w:rsid w:val="0031493E"/>
    <w:rsid w:val="0036406C"/>
    <w:rsid w:val="003716D8"/>
    <w:rsid w:val="004B3AF7"/>
    <w:rsid w:val="004D23FA"/>
    <w:rsid w:val="005126C1"/>
    <w:rsid w:val="00576D85"/>
    <w:rsid w:val="005E0A68"/>
    <w:rsid w:val="005F1D2E"/>
    <w:rsid w:val="0063103A"/>
    <w:rsid w:val="00746315"/>
    <w:rsid w:val="008628FC"/>
    <w:rsid w:val="00880D9E"/>
    <w:rsid w:val="008C1F91"/>
    <w:rsid w:val="008F5722"/>
    <w:rsid w:val="0096550C"/>
    <w:rsid w:val="00997829"/>
    <w:rsid w:val="00A4612A"/>
    <w:rsid w:val="00A921FC"/>
    <w:rsid w:val="00AC42EC"/>
    <w:rsid w:val="00AC76D2"/>
    <w:rsid w:val="00AD5E45"/>
    <w:rsid w:val="00AF6F1D"/>
    <w:rsid w:val="00B1387A"/>
    <w:rsid w:val="00B76598"/>
    <w:rsid w:val="00BC7D90"/>
    <w:rsid w:val="00BD6417"/>
    <w:rsid w:val="00C47E47"/>
    <w:rsid w:val="00C6598D"/>
    <w:rsid w:val="00D44DDE"/>
    <w:rsid w:val="00D52F60"/>
    <w:rsid w:val="00E056FC"/>
    <w:rsid w:val="00E651F2"/>
    <w:rsid w:val="00EE5ED9"/>
    <w:rsid w:val="00F52ED3"/>
    <w:rsid w:val="00F75644"/>
    <w:rsid w:val="00FB7AC6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01A3"/>
  <w15:chartTrackingRefBased/>
  <w15:docId w15:val="{9B8E45C2-0F8B-A84F-B0E1-099120C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7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9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79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079BB"/>
  </w:style>
  <w:style w:type="character" w:customStyle="1" w:styleId="ellipsis">
    <w:name w:val="ellipsis"/>
    <w:basedOn w:val="Policepardfaut"/>
    <w:rsid w:val="001079BB"/>
  </w:style>
  <w:style w:type="character" w:customStyle="1" w:styleId="epub-state">
    <w:name w:val="epub-state"/>
    <w:basedOn w:val="Policepardfaut"/>
    <w:rsid w:val="001079BB"/>
  </w:style>
  <w:style w:type="character" w:customStyle="1" w:styleId="epub-date">
    <w:name w:val="epub-date"/>
    <w:basedOn w:val="Policepardfaut"/>
    <w:rsid w:val="001079BB"/>
  </w:style>
  <w:style w:type="paragraph" w:styleId="NormalWeb">
    <w:name w:val="Normal (Web)"/>
    <w:basedOn w:val="Normal"/>
    <w:uiPriority w:val="99"/>
    <w:semiHidden/>
    <w:unhideWhenUsed/>
    <w:rsid w:val="00D44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E45"/>
  </w:style>
  <w:style w:type="paragraph" w:styleId="Pieddepage">
    <w:name w:val="footer"/>
    <w:basedOn w:val="Normal"/>
    <w:link w:val="Pieddepag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E45"/>
  </w:style>
  <w:style w:type="character" w:styleId="Lienhypertextesuivivisit">
    <w:name w:val="FollowedHyperlink"/>
    <w:basedOn w:val="Policepardfaut"/>
    <w:uiPriority w:val="99"/>
    <w:semiHidden/>
    <w:unhideWhenUsed/>
    <w:rsid w:val="0037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0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www.hse.ie/eng/about/who/acute-hospitals-division/drugs-management-programme/interim-recommendations-for-the-use-of-tocilizumab-in-the-management-of-patients-with-severe-covid-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oche.com/media/releases/med-cor-2020-03-19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112.international/society/italy-claims-to-find-drugs-against-coronavirus-49605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Baptist</dc:creator>
  <cp:keywords/>
  <dc:description/>
  <cp:lastModifiedBy>Robert Rivest</cp:lastModifiedBy>
  <cp:revision>2</cp:revision>
  <cp:lastPrinted>2020-04-15T12:27:00Z</cp:lastPrinted>
  <dcterms:created xsi:type="dcterms:W3CDTF">2020-04-28T15:46:00Z</dcterms:created>
  <dcterms:modified xsi:type="dcterms:W3CDTF">2020-04-28T15:46:00Z</dcterms:modified>
</cp:coreProperties>
</file>